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第六部分 尽职调查报告结论（模板）</w:t>
      </w:r>
      <w:bookmarkEnd w:id="0"/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尽职调查报告结论（模板）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</w:rPr>
      </w:pP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根据《广州市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国企创新投资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基金管理办法》的相关规定，本尽职调查机构对申报机构（子基金管理人）及其【】子基金的经营状况、管理团队、投资业绩、内部机制、合法合规等方面开展尽职调查，根据尽职调查结果，本尽职调查机构认为申报机构（子基金管理人）及其【】子基金，符合/不符合《广州市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国企创新投资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基金管理办法》的各项规定。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2、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本尽职调查机构对申报机构（子基金管理人）的募资能力、投资能力、基金运营管理能力、管理团队协作能力、过往投资业绩等方面逐一发表明确的尽职调查意见。</w:t>
      </w:r>
    </w:p>
    <w:p>
      <w:pPr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44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3、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综上，建议/不建议广州市</w:t>
      </w:r>
      <w:r>
        <w:rPr>
          <w:rFonts w:hint="eastAsia" w:ascii="Times New Roman" w:hAnsi="Times New Roman" w:eastAsia="仿宋_GB2312" w:cs="Times New Roman"/>
          <w:kern w:val="44"/>
          <w:sz w:val="32"/>
          <w:szCs w:val="32"/>
        </w:rPr>
        <w:t>国企创新投资</w:t>
      </w:r>
      <w:r>
        <w:rPr>
          <w:rFonts w:ascii="Times New Roman" w:hAnsi="Times New Roman" w:eastAsia="仿宋_GB2312" w:cs="Times New Roman"/>
          <w:kern w:val="44"/>
          <w:sz w:val="32"/>
          <w:szCs w:val="32"/>
        </w:rPr>
        <w:t>基金与申报机构的【】子基金进行合作。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mZkMWRhMzNlMGFjNmY1NzU4ZGZlZjc2NzRkNzcifQ=="/>
  </w:docVars>
  <w:rsids>
    <w:rsidRoot w:val="22E15BB5"/>
    <w:rsid w:val="22E15BB5"/>
    <w:rsid w:val="2C7D570A"/>
    <w:rsid w:val="380D0904"/>
    <w:rsid w:val="432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2023-08-14T09:42:00Z</dcterms:created>
  <dc:creator>QQM</dc:creator>
  <cp:lastModifiedBy>QQM</cp:lastModifiedBy>
  <dcterms:modified xsi:type="dcterms:W3CDTF">2023-08-14T09:46:51Z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CB54E2559B004C3080DF36AFC36514FF_13</vt:lpwstr>
  </property>
</Properties>
</file>