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 xml:space="preserve">第三部分 </w:t>
      </w:r>
      <w:bookmarkStart w:id="1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用户需求书</w:t>
      </w:r>
      <w:bookmarkEnd w:id="1"/>
    </w:p>
    <w:p>
      <w:pPr>
        <w:rPr>
          <w:rFonts w:ascii="Times New Roman" w:hAnsi="Times New Roman" w:cs="Times New Roman"/>
        </w:rPr>
      </w:pP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一、项目基本情况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（二）项目时间：2022年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至2022年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（尽职调查工作具体开展时间视招标人子基金遴选业务情况而定，具体见下文）。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二、</w:t>
      </w:r>
      <w:bookmarkStart w:id="0" w:name="_Hlk33286431"/>
      <w:r>
        <w:rPr>
          <w:rFonts w:hint="eastAsia" w:ascii="Times New Roman" w:hAnsi="Times New Roman" w:eastAsia="黑体" w:cs="Times New Roman"/>
          <w:b w:val="0"/>
          <w:bCs w:val="0"/>
        </w:rPr>
        <w:t>招标服务内容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招标人作为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ascii="Times New Roman" w:hAnsi="Times New Roman" w:eastAsia="仿宋_GB2312" w:cs="Times New Roman"/>
          <w:sz w:val="28"/>
          <w:szCs w:val="28"/>
        </w:rPr>
        <w:t>受托管理机构，委托符合条件的第三方机构对子基金申报机构开展尽职调查，形成尽职调查报告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，并提出投资建议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视届时具体尽调数量及工作时间需求，</w:t>
      </w:r>
      <w:r>
        <w:rPr>
          <w:rFonts w:ascii="Times New Roman" w:hAnsi="Times New Roman" w:eastAsia="仿宋_GB2312" w:cs="Times New Roman"/>
          <w:sz w:val="28"/>
          <w:szCs w:val="28"/>
        </w:rPr>
        <w:t>拟聘请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sz w:val="28"/>
          <w:szCs w:val="28"/>
        </w:rPr>
        <w:t>2家符合条件的第三方机构作为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尽职调查第三方机构，根据招标人子基金遴选工作情况，对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第六批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申报机构及其意向子基金开展尽职调查，并出具尽职调查报告（预计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约</w:t>
      </w: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</w:t>
      </w:r>
      <w:r>
        <w:rPr>
          <w:rFonts w:ascii="Times New Roman" w:hAnsi="Times New Roman" w:eastAsia="仿宋_GB2312" w:cs="Times New Roman"/>
          <w:sz w:val="28"/>
          <w:szCs w:val="28"/>
        </w:rPr>
        <w:t>意向子基金进行尽职调查，具体尽职调查数量以最终委托数为准）。</w:t>
      </w:r>
    </w:p>
    <w:bookmarkEnd w:id="0"/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尽职调查内容应包括但不限于子基金申报机构（子基金管理人）的经营状况、管理团队、投资业绩、内部机制、合法合规事项，以及拟组建的子基金出资情况、拟开展业务情况等。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三、招标服务要求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</w:t>
      </w:r>
      <w:r>
        <w:rPr>
          <w:rFonts w:ascii="Times New Roman" w:hAnsi="Times New Roman" w:eastAsia="仿宋_GB2312" w:cs="Times New Roman"/>
          <w:sz w:val="28"/>
          <w:szCs w:val="28"/>
        </w:rPr>
        <w:t>投标人须根据招标人招标服务内容要求（详情参见招标文件第五部分《尽职调查清单》），出具符合要求的尽职调查报告（《尽职调查报告结论（模板）》详见招标文件第六部分）。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（二）中标的候选供应商将与广州科技成果产业化引导基金合伙企业（有限合伙）签订尽职调查服务合同，合同内容参考本招标文件第七部分。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13860F53"/>
    <w:rsid w:val="138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2022-09-01T10:24:00Z</dcterms:created>
  <dc:creator>QQM</dc:creator>
  <cp:lastModifiedBy>QQM</cp:lastModifiedBy>
  <dcterms:modified xsi:type="dcterms:W3CDTF">2022-09-01T10:24:42Z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B67B5E9F359247408A09FE4421E78944</vt:lpwstr>
  </property>
</Properties>
</file>